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00" w:rsidRDefault="00BD2CEA">
      <w:pPr>
        <w:pStyle w:val="Corpo"/>
      </w:pPr>
      <w:r>
        <w:pict>
          <v:rect id="_x0000_s1027" style="position:absolute;margin-left:41.25pt;margin-top:136.5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312A00" w:rsidRDefault="005C579E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Cos</w:t>
                  </w:r>
                  <w:r>
                    <w:rPr>
                      <w:rFonts w:hAnsi="Helvetica Neue"/>
                    </w:rPr>
                    <w:t xml:space="preserve">’è </w:t>
                  </w:r>
                  <w:r>
                    <w:t>la malattia interiore</w:t>
                  </w:r>
                </w:p>
                <w:p w:rsidR="00312A00" w:rsidRPr="0013309B" w:rsidRDefault="005C579E">
                  <w:pPr>
                    <w:pStyle w:val="Modulovuoto"/>
                    <w:spacing w:after="240"/>
                    <w:jc w:val="both"/>
                    <w:rPr>
                      <w:rFonts w:ascii="Times New Roman" w:eastAsia="Helvetica Neue" w:hAnsi="Times New Roman" w:cs="Times New Roman"/>
                      <w:color w:val="CF5B1F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Solitamente si definisce malattia interiore quello stato di disagio, blocco che impedisce il pieno sviluppo della vita che il Signore ci è venuto a portare disturbandone il rapporto di amore verso se stessi e verso i fratelli. In questo senso sono malattie interiori tutte quelle forme di insicurezza, di timore, di panico, i complessi di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inferiorit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di colpa, di persecuzione, la tendenza ad una tristezza e ad una depressione legate a un morboso ripiegamento su se stessi, i meccanismi di gelosia, di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aggressivit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di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distruttivit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l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infantilismo, la non accettazione di sé, i risentimenti e i rancori persistenti e così via. La malattia interiore può perciò avere origine sia dalla costituzione originaria della persona che dalle pressioni di un ambiente che non è dominato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dall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amore, ma piuttosto dalla freddezza e più ancora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dall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aggressivit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 dalla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distruttivit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312A00" w:rsidRDefault="005C579E">
                  <w:pPr>
                    <w:pStyle w:val="Intestazione4"/>
                    <w:jc w:val="both"/>
                  </w:pPr>
                  <w:r>
                    <w:t>Cos</w:t>
                  </w:r>
                  <w:r>
                    <w:rPr>
                      <w:rFonts w:hAnsi="Helvetica Neue"/>
                    </w:rPr>
                    <w:t xml:space="preserve">’è </w:t>
                  </w:r>
                  <w:r>
                    <w:t>la guarigione interiore</w:t>
                  </w:r>
                </w:p>
                <w:p w:rsidR="00312A00" w:rsidRPr="0013309B" w:rsidRDefault="005C579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Molti pensano che la liberazione è necessaria solo quando vi sono possessioni demoniache, o che se si parla di liberazione si debba necessariamente avere a che fare con queste.</w:t>
                  </w:r>
                  <w:r w:rsidRPr="0013309B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 la Parola di Dio ci dice che tutto ciò che è male: peccato, morte, tenebra, menzogna, inganno, tentazione, division</w:t>
                  </w:r>
                  <w:r w:rsidR="00BD2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e, odio, violenza, dominio dell’uomo sull’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uomo, complessi di colpa, paura e insicurezza, ha a che fare in maniera più o meno diretta o indiretta con satana (cfr.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8,44; 12,31; 14,30; 16,11; 1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2,19; 5,19; 3,8;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Sap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2,24;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Eb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2,14;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22,53; 2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Cor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11,14; 1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Ts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3,5; ecc...).</w:t>
                  </w:r>
                </w:p>
                <w:p w:rsidR="00312A00" w:rsidRPr="0013309B" w:rsidRDefault="005C579E">
                  <w:pPr>
                    <w:pStyle w:val="Modulovuoto"/>
                    <w:jc w:val="both"/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guarigione interiore è l'azione salvifica del Signore Gesù che mi libera all'attaccamento della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volont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 male, dall'influsso del maligno, dalle conseguenze del peccato che mi spingono a compiere di nuovo atti peccaminosi, dall'influsso delle motivazioni inconsce che mi spingono ad atti contro la legge di Dio.</w:t>
                  </w:r>
                </w:p>
                <w:p w:rsidR="00312A00" w:rsidRPr="0013309B" w:rsidRDefault="00312A00">
                  <w:pPr>
                    <w:pStyle w:val="Modulovuoto"/>
                    <w:jc w:val="both"/>
                    <w:rPr>
                      <w:rFonts w:ascii="Times New Roman" w:eastAsia="Gill Sans" w:hAnsi="Times New Roman" w:cs="Times New Roman"/>
                    </w:rPr>
                  </w:pPr>
                </w:p>
                <w:p w:rsidR="00312A00" w:rsidRDefault="005C579E">
                  <w:pPr>
                    <w:pStyle w:val="Intestazione4"/>
                    <w:jc w:val="both"/>
                  </w:pPr>
                  <w:r>
                    <w:t>La mediazione della comunit</w:t>
                  </w:r>
                  <w:r>
                    <w:rPr>
                      <w:rFonts w:hAnsi="Helvetica Neue"/>
                    </w:rPr>
                    <w:t xml:space="preserve">à </w:t>
                  </w:r>
                  <w:r>
                    <w:t>-Chiesa</w:t>
                  </w:r>
                </w:p>
                <w:p w:rsidR="00312A00" w:rsidRPr="0013309B" w:rsidRDefault="005C579E">
                  <w:pPr>
                    <w:pStyle w:val="Modulovuoto"/>
                    <w:numPr>
                      <w:ilvl w:val="0"/>
                      <w:numId w:val="2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Chi vuole guarire interiormente non può trascurare il sacramento della penitenza: il Signore lo invita ad attingere alla sorgente di acqua viva che disseta, che purifica, che guarisce - La sorgente è il Signore Crocifisso, che dal costato aperto riversa su di noi torrenti di acqua viva (cfr.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7,37-39, 19,34-37).</w:t>
                  </w:r>
                </w:p>
                <w:p w:rsidR="00312A00" w:rsidRPr="0013309B" w:rsidRDefault="005C579E">
                  <w:pPr>
                    <w:pStyle w:val="Modulovuoto"/>
                    <w:numPr>
                      <w:ilvl w:val="0"/>
                      <w:numId w:val="3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Ogni Santa Messa che celebriamo è un incontro con il Medico Divino, che guarisce tutte le parti della nostra persona: anima, mente, corpo. L'Eucaristia è veramente il sacramento della nostra guarigione. In essa Gesù è la sorgente di ogni grazia, di ogni energia, di ogni sollievo; è la sorgente di pace e di amore, di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santit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e di unione.</w:t>
                  </w:r>
                </w:p>
                <w:p w:rsidR="00312A00" w:rsidRPr="0013309B" w:rsidRDefault="005C579E">
                  <w:pPr>
                    <w:pStyle w:val="Modulovuoto"/>
                    <w:numPr>
                      <w:ilvl w:val="0"/>
                      <w:numId w:val="4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es-ES_tradnl"/>
                    </w:rPr>
                    <w:t>La capacit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 guarigione della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="00BD2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-Chiesa sta anzitutto nell’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accogliere il fratello che è malato interiormente, accettandolo in maniera incondizionata nella sua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realt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Egli deve essere amato così come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è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la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non sottopone a diagnosi, o giudizio o condanna, nessuno (cfr.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6,36 ss.), ma discerne, prende coscienza, e con progressiva discrezione, vivendo continuamente nella speranza , ama il fratello, consapevole che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sar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quellʼamore a guarirlo.</w:t>
                  </w:r>
                  <w:r w:rsid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 questo modo si aiuta il malato interiore a compiere il primo atto necessario: accettare se stesso e non a sentirsi rifiutato o magari </w:t>
                  </w:r>
                  <w:r w:rsidR="00BD2C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come colui che è al centro dell’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attenzione e tutti guardano e pregano per lui, per la sua guarigione.</w:t>
                  </w:r>
                  <w:r w:rsidRPr="0013309B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com-passione è continuazione della Passione di Gesù. Quanto più una comunità è unita nello Spirito, nelle virtù teologali (fede, speranza e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carit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e nella preghiera, tanto più cresce la sua potenza di guarigione.</w:t>
                  </w:r>
                </w:p>
                <w:p w:rsidR="00312A00" w:rsidRPr="0013309B" w:rsidRDefault="00312A00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312A00" w:rsidRDefault="00312A00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312A00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312A00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312A00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312A00" w:rsidRDefault="00312A00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312A00" w:rsidRDefault="00312A00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0C4C0C">
        <w:pict>
          <v:rect id="_x0000_s1028" style="position:absolute;margin-left:48.5pt;margin-top:58pt;width:500pt;height:64.7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12A00" w:rsidRPr="0013309B" w:rsidRDefault="0013309B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13309B">
                    <w:rPr>
                      <w:rFonts w:ascii="Helvetica Light"/>
                      <w:b/>
                      <w:sz w:val="40"/>
                      <w:szCs w:val="40"/>
                    </w:rPr>
                    <w:t>IV DOMENICA DEL TEMPO ORDINARIO (ANNO B)</w:t>
                  </w:r>
                </w:p>
                <w:p w:rsidR="00312A00" w:rsidRPr="0013309B" w:rsidRDefault="005C579E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13309B">
                    <w:rPr>
                      <w:rFonts w:ascii="Helvetica Light"/>
                      <w:sz w:val="28"/>
                      <w:szCs w:val="28"/>
                    </w:rPr>
                    <w:t>1 febbraio-</w:t>
                  </w:r>
                  <w:r w:rsidRPr="0013309B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 w:rsidR="0013309B">
                    <w:rPr>
                      <w:rFonts w:ascii="Cochin"/>
                      <w:sz w:val="28"/>
                      <w:szCs w:val="28"/>
                    </w:rPr>
                    <w:t xml:space="preserve">Mc </w:t>
                  </w:r>
                  <w:r w:rsidRPr="0013309B">
                    <w:rPr>
                      <w:rFonts w:ascii="Cochin"/>
                      <w:sz w:val="28"/>
                      <w:szCs w:val="28"/>
                    </w:rPr>
                    <w:t>1,21-28</w:t>
                  </w:r>
                </w:p>
              </w:txbxContent>
            </v:textbox>
            <w10:wrap anchorx="page" anchory="page"/>
          </v:rect>
        </w:pict>
      </w:r>
      <w:r w:rsidR="000C4C0C">
        <w:pict>
          <v:roundrect id="_x0000_s1029" style="position:absolute;margin-left:176.25pt;margin-top:33pt;width:242pt;height:25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312A00" w:rsidRDefault="005C579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0C4C0C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5C579E">
        <w:br w:type="page"/>
      </w:r>
    </w:p>
    <w:p w:rsidR="00312A00" w:rsidRDefault="00BD2CEA">
      <w:r w:rsidRPr="000C4C0C">
        <w:lastRenderedPageBreak/>
        <w:pict>
          <v:rect id="_x0000_s1030" style="position:absolute;margin-left:27.75pt;margin-top:138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312A00" w:rsidRDefault="005C579E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BD2CEA" w:rsidRDefault="00BD2CEA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13309B" w:rsidP="0013309B">
                  <w:pPr>
                    <w:pStyle w:val="Corpo"/>
                    <w:numPr>
                      <w:ilvl w:val="0"/>
                      <w:numId w:val="5"/>
                    </w:numPr>
                    <w:tabs>
                      <w:tab w:val="num" w:pos="150"/>
                    </w:tabs>
                    <w:ind w:left="150" w:hanging="150"/>
                    <w:rPr>
                      <w:position w:val="-2"/>
                    </w:rPr>
                  </w:pPr>
                  <w:r>
                    <w:rPr>
                      <w:b/>
                      <w:bCs/>
                    </w:rPr>
                    <w:t>Canto allo</w:t>
                  </w:r>
                  <w:r w:rsidR="005C579E">
                    <w:rPr>
                      <w:b/>
                      <w:bCs/>
                    </w:rPr>
                    <w:t xml:space="preserve"> Spirito Santo</w:t>
                  </w:r>
                  <w:r w:rsidR="005C579E">
                    <w:rPr>
                      <w:b/>
                      <w:bCs/>
                    </w:rPr>
                    <w:br/>
                  </w:r>
                  <w:r w:rsidR="005C579E">
                    <w:rPr>
                      <w:rFonts w:hAnsi="Hoefler Text"/>
                      <w:b/>
                      <w:bCs/>
                      <w:color w:val="A31400"/>
                      <w:position w:val="-3"/>
                    </w:rPr>
                    <w:t xml:space="preserve">• </w:t>
                  </w:r>
                  <w:r w:rsidR="005C579E">
                    <w:rPr>
                      <w:b/>
                      <w:bCs/>
                    </w:rPr>
                    <w:t>Orazione iniziale</w:t>
                  </w:r>
                  <w:r w:rsidR="005C579E">
                    <w:rPr>
                      <w:b/>
                      <w:bCs/>
                    </w:rPr>
                    <w:br/>
                  </w:r>
                  <w:r w:rsidR="005C579E">
                    <w:rPr>
                      <w:sz w:val="24"/>
                      <w:szCs w:val="24"/>
                      <w:lang w:val="de-DE"/>
                    </w:rPr>
                    <w:t>Signore Ges</w:t>
                  </w:r>
                  <w:r w:rsidR="005C579E"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 w:rsidR="005C579E">
                    <w:rPr>
                      <w:sz w:val="24"/>
                      <w:szCs w:val="24"/>
                    </w:rPr>
                    <w:t>, tu sei venuto a guarire i cuori feriti e tribolati: ti prego di guarire i traumi che provocano turbamenti nel mio cuore.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C579E">
                    <w:rPr>
                      <w:sz w:val="24"/>
                      <w:szCs w:val="24"/>
                    </w:rPr>
                    <w:t>Tu sei venuto a guarire i cuori afflitti, guarisci il mio cuore.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C579E">
                    <w:rPr>
                      <w:sz w:val="24"/>
                      <w:szCs w:val="24"/>
                    </w:rPr>
                    <w:t>Fa' che possa riacquistare pace e gioia per la certezza che tu sei la risurrezione e la vita.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C579E">
                    <w:rPr>
                      <w:sz w:val="24"/>
                      <w:szCs w:val="24"/>
                    </w:rPr>
                    <w:t>Fammi testimone autentico della Tua Risurrezione, della Tua vittoria sul peccato e sulla morte, della Tua presenza di vivente in mezzo a noi. Amen.</w:t>
                  </w:r>
                </w:p>
                <w:p w:rsidR="00312A00" w:rsidRDefault="00312A0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BD2CEA" w:rsidRDefault="00BD2CE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Lettura di Mc 1.21-28</w:t>
                  </w:r>
                </w:p>
                <w:p w:rsidR="00312A00" w:rsidRPr="0013309B" w:rsidRDefault="005C579E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In quel tempo, Gesù, entrato di sabato nella sinagoga, [a Caf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rnao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,] insegnava. Ed erano stupiti del suo insegnamento: egli infatti insegnava loro come uno che ha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autorit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, e non come gli scribi. Ed ecco, nella loro sinagoga vi era un uomo posseduto da uno spirito impuro e cominciò 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sv-SE"/>
                    </w:rPr>
                    <w:t xml:space="preserve">a gridare, dicendo: 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Che vuoi da noi, Gesù Nazareno? Sei venuto a rovinarci? Io so chi tu sei: il santo di Dio!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de-DE"/>
                    </w:rPr>
                    <w:t>. E Ges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ù gli ordinò severamente: 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Taci! Esci da lui!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. E lo spirito impuro, straziandolo e gridando forte, uscì da lui. Tutti furono presi da timore, tanto che si chiedevano a vicenda: 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Che è mai questo? Un insegnamento nuovo, dato con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autorit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. Comanda persino agli spiriti impuri e gli obbediscono!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 w:rsidRPr="0013309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.La sua fama si diffuse subito dovunque, in tutta la regione della Galilea.</w:t>
                  </w:r>
                </w:p>
                <w:p w:rsidR="00312A00" w:rsidRDefault="005C579E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0"/>
                      <w:szCs w:val="30"/>
                    </w:rPr>
                  </w:pPr>
                  <w:r>
                    <w:rPr>
                      <w:rFonts w:hAnsi="Arial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Arial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animatore</w:t>
                  </w:r>
                  <w:r w:rsidRPr="0013309B">
                    <w:rPr>
                      <w:rFonts w:ascii="Times New Roman" w:eastAsia="Arial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br/>
                  </w:r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• </w:t>
                  </w:r>
                  <w:r w:rsidRPr="0013309B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Momento di silenzio orante</w:t>
                  </w:r>
                </w:p>
                <w:p w:rsidR="00312A00" w:rsidRDefault="005C579E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BD2CEA" w:rsidRDefault="00BD2CE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312A00" w:rsidRDefault="005C579E" w:rsidP="00BD2CEA">
                  <w:pPr>
                    <w:pStyle w:val="Modulovuoto"/>
                    <w:numPr>
                      <w:ilvl w:val="0"/>
                      <w:numId w:val="11"/>
                    </w:numPr>
                    <w:jc w:val="both"/>
                    <w:rPr>
                      <w:rFonts w:ascii="Times New Roman" w:eastAsia="Times New Roman" w:hAnsi="Times New Roman" w:cs="Times New Roman"/>
                      <w:position w:val="-2"/>
                      <w:sz w:val="32"/>
                      <w:szCs w:val="32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Cosa c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’è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che mi rende infelice nella mia vita e mi impedisce di amare. rancori, non accettazione di me, paura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etc</w:t>
                  </w:r>
                  <w:proofErr w:type="spellEnd"/>
                  <w:r>
                    <w:rPr>
                      <w:rFonts w:ascii="Times New Roman"/>
                      <w:sz w:val="24"/>
                      <w:szCs w:val="24"/>
                    </w:rPr>
                    <w:t>? Sono convinto che l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unico rimedio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che mi guarisce attraverso i suoi sacramenti?</w:t>
                  </w:r>
                </w:p>
                <w:p w:rsidR="00312A00" w:rsidRDefault="005C579E" w:rsidP="00BD2CEA">
                  <w:pPr>
                    <w:pStyle w:val="Modulovuoto"/>
                    <w:numPr>
                      <w:ilvl w:val="0"/>
                      <w:numId w:val="11"/>
                    </w:numPr>
                    <w:jc w:val="both"/>
                    <w:rPr>
                      <w:rFonts w:ascii="Times New Roman" w:eastAsia="Times New Roman" w:hAnsi="Times New Roman" w:cs="Times New Roman"/>
                      <w:position w:val="-2"/>
                      <w:sz w:val="32"/>
                      <w:szCs w:val="32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Sono convinto che anche attraverso il mio amore posso guarire le ferite profonde degli altri</w:t>
                  </w:r>
                  <w:r w:rsidR="0013309B"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accettandoli ed amandoli cos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ì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come sono?</w:t>
                  </w:r>
                </w:p>
                <w:p w:rsidR="00312A00" w:rsidRDefault="005C579E" w:rsidP="00BD2CEA">
                  <w:pPr>
                    <w:pStyle w:val="Modulovuoto"/>
                    <w:numPr>
                      <w:ilvl w:val="0"/>
                      <w:numId w:val="11"/>
                    </w:numPr>
                    <w:jc w:val="both"/>
                    <w:rPr>
                      <w:rFonts w:ascii="Times New Roman" w:eastAsia="Times New Roman" w:hAnsi="Times New Roman" w:cs="Times New Roman"/>
                      <w:position w:val="-2"/>
                      <w:sz w:val="32"/>
                      <w:szCs w:val="32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Il male sembra dominare la vita degli uomini d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oggi. Come cristiani sappiamo testimoniare con la</w:t>
                  </w:r>
                  <w:r w:rsidR="0013309B"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nostra vita che Dio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infinitamente pi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 w:rsidR="0013309B">
                    <w:rPr>
                      <w:rFonts w:ascii="Times New Roman"/>
                      <w:sz w:val="24"/>
                      <w:szCs w:val="24"/>
                    </w:rPr>
                    <w:t xml:space="preserve">forte del demonio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(male)?</w:t>
                  </w:r>
                </w:p>
                <w:p w:rsidR="00312A00" w:rsidRDefault="00312A0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 w:rsidP="0013309B">
                  <w:pPr>
                    <w:pStyle w:val="Modulovuoto"/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312A00" w:rsidRDefault="005C579E">
                  <w:pPr>
                    <w:pStyle w:val="Modulovuoto"/>
                    <w:numPr>
                      <w:ilvl w:val="0"/>
                      <w:numId w:val="10"/>
                    </w:numPr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312A00" w:rsidRDefault="00312A00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BD2CEA" w:rsidRDefault="00BD2CE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312A00" w:rsidRDefault="005C579E" w:rsidP="0013309B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 Padre, che nel Cristo tuo Figlio ci hai dato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unico maestro di sapienza e il liberatore dalle potenze del male, rendici forti nella professione della fede,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in parole e opere proclamiamo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verit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testimoniamo la beatitudine di coloro che a te si affidano. Per il nostro...</w:t>
                  </w:r>
                </w:p>
                <w:p w:rsidR="00312A00" w:rsidRDefault="00312A00">
                  <w:pPr>
                    <w:pStyle w:val="Modulovuoto"/>
                    <w:spacing w:after="240"/>
                    <w:rPr>
                      <w:rFonts w:ascii="Arial" w:eastAsia="Arial" w:hAnsi="Arial" w:cs="Arial"/>
                      <w:i/>
                      <w:iCs/>
                      <w:sz w:val="32"/>
                      <w:szCs w:val="32"/>
                    </w:rPr>
                  </w:pPr>
                </w:p>
                <w:p w:rsidR="00312A00" w:rsidRDefault="00312A00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Gill Sans" w:eastAsia="Gill Sans" w:hAnsi="Gill Sans" w:cs="Gill Sans"/>
                      <w:sz w:val="32"/>
                      <w:szCs w:val="32"/>
                    </w:rPr>
                  </w:pPr>
                </w:p>
                <w:p w:rsidR="00312A00" w:rsidRDefault="00312A00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312A00" w:rsidRDefault="00312A00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0C4C0C" w:rsidRPr="000C4C0C">
        <w:pict>
          <v:roundrect id="_x0000_s1031" style="position:absolute;margin-left:174pt;margin-top:36.35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312A00" w:rsidRDefault="005C579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="000C4C0C" w:rsidRPr="000C4C0C">
        <w:pict>
          <v:rect id="_x0000_s1032" style="position:absolute;margin-left:37.5pt;margin-top:58pt;width:512.25pt;height:67.5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13309B" w:rsidRPr="0013309B" w:rsidRDefault="0013309B" w:rsidP="0013309B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13309B">
                    <w:rPr>
                      <w:rFonts w:ascii="Helvetica Light"/>
                      <w:b/>
                      <w:sz w:val="40"/>
                      <w:szCs w:val="40"/>
                    </w:rPr>
                    <w:t>IV DOMENICA DEL TEMPO ORDINARIO (ANNO B)</w:t>
                  </w:r>
                </w:p>
                <w:p w:rsidR="0013309B" w:rsidRPr="0013309B" w:rsidRDefault="0013309B" w:rsidP="0013309B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13309B">
                    <w:rPr>
                      <w:rFonts w:ascii="Helvetica Light"/>
                      <w:sz w:val="28"/>
                      <w:szCs w:val="28"/>
                    </w:rPr>
                    <w:t>1 febbraio-</w:t>
                  </w:r>
                  <w:r w:rsidRPr="0013309B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>
                    <w:rPr>
                      <w:rFonts w:ascii="Cochin"/>
                      <w:sz w:val="28"/>
                      <w:szCs w:val="28"/>
                    </w:rPr>
                    <w:t xml:space="preserve">Mc </w:t>
                  </w:r>
                  <w:r w:rsidRPr="0013309B">
                    <w:rPr>
                      <w:rFonts w:ascii="Cochin"/>
                      <w:sz w:val="28"/>
                      <w:szCs w:val="28"/>
                    </w:rPr>
                    <w:t>1,21-28</w:t>
                  </w:r>
                </w:p>
                <w:p w:rsidR="00312A00" w:rsidRPr="0013309B" w:rsidRDefault="00312A00" w:rsidP="0013309B"/>
              </w:txbxContent>
            </v:textbox>
            <w10:wrap anchorx="page" anchory="page"/>
          </v:rect>
        </w:pict>
      </w:r>
    </w:p>
    <w:sectPr w:rsidR="00312A00" w:rsidSect="00312A00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79E" w:rsidRDefault="005C579E" w:rsidP="00312A00">
      <w:r>
        <w:separator/>
      </w:r>
    </w:p>
  </w:endnote>
  <w:endnote w:type="continuationSeparator" w:id="1">
    <w:p w:rsidR="005C579E" w:rsidRDefault="005C579E" w:rsidP="00312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A00" w:rsidRDefault="00312A00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79E" w:rsidRDefault="005C579E" w:rsidP="00312A00">
      <w:r>
        <w:separator/>
      </w:r>
    </w:p>
  </w:footnote>
  <w:footnote w:type="continuationSeparator" w:id="1">
    <w:p w:rsidR="005C579E" w:rsidRDefault="005C579E" w:rsidP="00312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A00" w:rsidRDefault="00312A00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D8B"/>
    <w:multiLevelType w:val="multilevel"/>
    <w:tmpl w:val="B5202992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abstractNum w:abstractNumId="1">
    <w:nsid w:val="0CCC3264"/>
    <w:multiLevelType w:val="hybridMultilevel"/>
    <w:tmpl w:val="8EF8240E"/>
    <w:lvl w:ilvl="0" w:tplc="E488C49E">
      <w:start w:val="1"/>
      <w:numFmt w:val="decimal"/>
      <w:lvlText w:val="%1."/>
      <w:lvlJc w:val="left"/>
      <w:pPr>
        <w:ind w:left="720" w:hanging="360"/>
      </w:pPr>
      <w:rPr>
        <w:rFonts w:eastAsia="Arial Unicode MS" w:hAnsi="Arial Unicode MS" w:cs="Arial Unicode MS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A5B9D"/>
    <w:multiLevelType w:val="multilevel"/>
    <w:tmpl w:val="D01ECA4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32"/>
        <w:szCs w:val="32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3">
    <w:nsid w:val="19AC1281"/>
    <w:multiLevelType w:val="multilevel"/>
    <w:tmpl w:val="3150419E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2BFB7E58"/>
    <w:multiLevelType w:val="multilevel"/>
    <w:tmpl w:val="9EA0C7B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32"/>
        <w:szCs w:val="32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5">
    <w:nsid w:val="335619C1"/>
    <w:multiLevelType w:val="multilevel"/>
    <w:tmpl w:val="68A62C1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32"/>
        <w:szCs w:val="32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399A0069"/>
    <w:multiLevelType w:val="multilevel"/>
    <w:tmpl w:val="BBE4CFF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7">
    <w:nsid w:val="41D95A9E"/>
    <w:multiLevelType w:val="multilevel"/>
    <w:tmpl w:val="6ADABE0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8">
    <w:nsid w:val="425574BA"/>
    <w:multiLevelType w:val="multilevel"/>
    <w:tmpl w:val="8DB24C9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9">
    <w:nsid w:val="5E3C7356"/>
    <w:multiLevelType w:val="multilevel"/>
    <w:tmpl w:val="32204A8E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10">
    <w:nsid w:val="6402668E"/>
    <w:multiLevelType w:val="multilevel"/>
    <w:tmpl w:val="31FCFA3C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12A00"/>
    <w:rsid w:val="000C4C0C"/>
    <w:rsid w:val="0013309B"/>
    <w:rsid w:val="00312A00"/>
    <w:rsid w:val="005C579E"/>
    <w:rsid w:val="00BD2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12A0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12A00"/>
    <w:rPr>
      <w:u w:val="single"/>
    </w:rPr>
  </w:style>
  <w:style w:type="table" w:customStyle="1" w:styleId="TableNormal">
    <w:name w:val="Table Normal"/>
    <w:rsid w:val="00312A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312A00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312A00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312A00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312A00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312A00"/>
    <w:rPr>
      <w:rFonts w:ascii="Hoefler Text" w:hAnsi="Arial Unicode MS" w:cs="Arial Unicode MS"/>
      <w:color w:val="000000"/>
    </w:rPr>
  </w:style>
  <w:style w:type="numbering" w:customStyle="1" w:styleId="Puntielenco">
    <w:name w:val="Punti elenco"/>
    <w:rsid w:val="00312A00"/>
    <w:pPr>
      <w:numPr>
        <w:numId w:val="10"/>
      </w:numPr>
    </w:pPr>
  </w:style>
  <w:style w:type="paragraph" w:customStyle="1" w:styleId="CorpoA">
    <w:name w:val="Corpo A"/>
    <w:rsid w:val="00312A00"/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cp:lastPrinted>2014-09-27T10:27:00Z</cp:lastPrinted>
  <dcterms:created xsi:type="dcterms:W3CDTF">2014-09-26T20:45:00Z</dcterms:created>
  <dcterms:modified xsi:type="dcterms:W3CDTF">2014-09-27T10:31:00Z</dcterms:modified>
</cp:coreProperties>
</file>