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23" w:rsidRDefault="00B30FFB">
      <w:pPr>
        <w:pStyle w:val="Corpo"/>
      </w:pPr>
      <w:r>
        <w:pict>
          <v:rect id="_x0000_s1027" style="position:absolute;margin-left:36.75pt;margin-top:125pt;width:523pt;height:691.7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0F6F23" w:rsidRDefault="00642B8E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L</w:t>
                  </w:r>
                  <w:r>
                    <w:rPr>
                      <w:rFonts w:hAnsi="Helvetica Neue"/>
                    </w:rPr>
                    <w:t>’</w:t>
                  </w:r>
                  <w:r>
                    <w:t>apparizione del risorto</w:t>
                  </w:r>
                </w:p>
                <w:p w:rsidR="000F6F23" w:rsidRPr="004F1CAD" w:rsidRDefault="00642B8E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E’ il giorno dopo il sabato il giorno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incontro tra il Risorto e la Chiesa nel luogo in cui la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comunit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cristiana si raduna. .le porte erano chiuse,  particolare per indicare che il corpo di Gesù risorto, pur essendo riconoscibile, non è soggetto alle leggi ordinarie della vita umana.</w:t>
                  </w:r>
                  <w:r w:rsidR="004F1CAD"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 dono della pace non è un augurio, ma la pace che aveva promesso quando erano afflitti per la sua dipartita (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14,27; 2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Ts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3,16;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Rm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5,3), è la pace messianica, il compimento delle</w:t>
                  </w:r>
                  <w:r w:rsidR="004F1CAD"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promesse di Dio, la liberazione da ogni paura, la vittoria sul peccato e sulla morte, la riconciliazione con Dio, frutto della sua passione, dono gratuito di Dio. Viene ripetuto tre volte in questo brano.</w:t>
                  </w:r>
                </w:p>
                <w:p w:rsidR="000F6F23" w:rsidRPr="004F1CAD" w:rsidRDefault="00642B8E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Ges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ù fornisce le prove evidenti e tangibili che è colui che è stato crocifisso. Solo Giovanni ricorda il particolare della ferita al costato inferta dalla lancia di un soldato romano, mentre Luca evidenzia la ferita ai piedi (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Lc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24,39). Nel mostrare le ferite Gesù vuole anche evidenziare che la pace che lui d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viene dalla croce (2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Tm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2,1-13).Alla fine i discepoli gioiscono: è la stessa gioia che esprime il profeta Isaia nel descrivere il banchetto divino (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Is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25,8-9), la gioia escatologica, che Gesù aveva preannunciata nei discorsi di addio e che nessuno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potr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mai togliere (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16,22; 20,27).</w:t>
                  </w:r>
                </w:p>
                <w:p w:rsidR="000F6F23" w:rsidRDefault="000F6F23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</w:p>
                <w:p w:rsidR="000F6F23" w:rsidRDefault="00642B8E">
                  <w:pPr>
                    <w:pStyle w:val="Intestazione4"/>
                    <w:jc w:val="both"/>
                  </w:pPr>
                  <w:r>
                    <w:t>La missione</w:t>
                  </w:r>
                </w:p>
                <w:p w:rsidR="000F6F23" w:rsidRPr="004F1CAD" w:rsidRDefault="00642B8E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4F1CAD">
                    <w:rPr>
                      <w:rFonts w:ascii="Times New Roman" w:hAnsi="Times New Roman" w:cs="Times New Roman"/>
                      <w:i/>
                      <w:iCs/>
                      <w:color w:val="060000"/>
                      <w:sz w:val="24"/>
                      <w:szCs w:val="24"/>
                    </w:rPr>
                    <w:t>Come il Padre ha mandato me, anche io mando voi</w:t>
                  </w:r>
                  <w:r w:rsidRPr="004F1CAD">
                    <w:rPr>
                      <w:rFonts w:ascii="Times New Roman" w:hAnsi="Times New Roman" w:cs="Times New Roman"/>
                      <w:color w:val="060000"/>
                      <w:sz w:val="24"/>
                      <w:szCs w:val="24"/>
                    </w:rPr>
                    <w:t xml:space="preserve">: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non si tratta di una nuova missione, ma della stessa missione di Gesù che si estende a coloro che sono suoi discepoli, così anche alla sua Chiesa (Mt 28,18-20; Mc 16,15-18;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Lc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24,47-49). Il Figlio di Dio è stato inviato perché </w:t>
                  </w:r>
                  <w:r w:rsidRPr="004F1CAD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“il mondo sia salvato per mezzo di lui”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3,17) e tutta la sua esistenza terrena è una manifestazione della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volont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divina che tutti si salvino. Questo progetto lo lascia in consegna ed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eredit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 tutta la Chiesa e, in maniera particolare,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all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interno di essa, ai ministri ordinati.</w:t>
                  </w:r>
                </w:p>
                <w:p w:rsidR="000F6F23" w:rsidRPr="004F1CAD" w:rsidRDefault="00642B8E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Dopo che Gesù è stato glorificato viene dato lo Spirito Santo (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7,39). Qui si tratta della trasmissione dello Spirito per una missione particolare, mentre la Pentecoste (At 2) è la discesa dello Spirito su tutto il popolo di Dio.</w:t>
                  </w:r>
                </w:p>
                <w:p w:rsidR="000F6F23" w:rsidRPr="004F1CAD" w:rsidRDefault="00642B8E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E’ Dio che ha il potere di rimettere i peccati, secondo gli Scribi e i Farisei (Mc 2,7). Gesù ha questo potere (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Lc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5,24) e lo trasmette alla sua Chiesa. Si indica il potere di rimettere i peccati nella Chiesa. In questo potere generale è incluso anche il potere di rimettere i peccati dopo il Battesimo, quello che noi chiamiamo “sacramento della Riconciliazione” espresso in diverse forme nel corso della storia della Chiesa.</w:t>
                  </w:r>
                </w:p>
                <w:p w:rsidR="000F6F23" w:rsidRDefault="000F6F23">
                  <w:pPr>
                    <w:pStyle w:val="Modulovuoto"/>
                    <w:jc w:val="both"/>
                    <w:rPr>
                      <w:rFonts w:ascii="Arial" w:eastAsia="Arial" w:hAnsi="Arial" w:cs="Arial"/>
                    </w:rPr>
                  </w:pPr>
                </w:p>
                <w:p w:rsidR="000F6F23" w:rsidRDefault="00642B8E">
                  <w:pPr>
                    <w:pStyle w:val="Intestazione4"/>
                    <w:jc w:val="both"/>
                  </w:pPr>
                  <w:r>
                    <w:t>Tommaso</w:t>
                  </w:r>
                </w:p>
                <w:p w:rsidR="000F6F23" w:rsidRPr="004F1CAD" w:rsidRDefault="00642B8E">
                  <w:pPr>
                    <w:pStyle w:val="Modulovuoto"/>
                    <w:spacing w:after="240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Tommaso non riesce a credere attraverso i testimoni oculari. Vuole fare lui l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esperienza. Il quarto vangelo è conscio della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difficolt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 chiunque a credere nella risurrezione (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Lc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24,34-40; Mc 16,11; 1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Cor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15,5-8), specialmente poi di coloro che non hanno visto il Risorto. Gesù non vede in Tommaso uno scettico indifferente, ma un uomo in cerca della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verit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e lo accontenta pienamente. Non è forse così anche per noi? Gesù rispetta la nostra crescita di fede, spesso lenta, talvolta con regressioni. Così è stato anche per Tommaso.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Ges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ù ripete le parole di Tommaso, entra in dialogo con lui, capisce i suoi dubbi e vuole aiutarlo. Gesù sa che Tommaso lo ama e ne ha compassione perché ancora non gode della pace che viene dalla fede. L</w:t>
                  </w:r>
                  <w:r w:rsidR="004F1CAD"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 aiuta a progredire nella fede, </w:t>
                  </w:r>
                  <w:r w:rsidRPr="004F1CAD">
                    <w:rPr>
                      <w:rFonts w:ascii="Times New Roman" w:hAnsi="Times New Roman" w:cs="Times New Roman"/>
                      <w:i/>
                      <w:iCs/>
                      <w:color w:val="120000"/>
                      <w:sz w:val="24"/>
                      <w:szCs w:val="24"/>
                    </w:rPr>
                    <w:t>Mio Signore e mio Dio!</w:t>
                  </w:r>
                  <w:r w:rsidR="004F1CAD" w:rsidRPr="004F1CAD">
                    <w:rPr>
                      <w:rFonts w:ascii="Times New Roman" w:hAnsi="Times New Roman" w:cs="Times New Roman"/>
                      <w:i/>
                      <w:iCs/>
                      <w:color w:val="120000"/>
                      <w:sz w:val="24"/>
                      <w:szCs w:val="24"/>
                    </w:rPr>
                    <w:t xml:space="preserve">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la professione di fede nel Risorto e nella sua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divinit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come è proclamato anche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all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inizio del vangelo di Giovanni (1,1). E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’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la professione di fede pasquale nella </w:t>
                  </w:r>
                  <w:proofErr w:type="spellStart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divinit</w:t>
                  </w:r>
                  <w:proofErr w:type="spellEnd"/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4F1CAD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 Gesù più esplicita e diretta.</w:t>
                  </w:r>
                </w:p>
                <w:p w:rsidR="000F6F23" w:rsidRDefault="000F6F23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0F6F23" w:rsidRDefault="000F6F23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F6F23" w:rsidRDefault="000F6F23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F6F23" w:rsidRDefault="000F6F23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F6F23" w:rsidRDefault="000F6F23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F6F23" w:rsidRDefault="000F6F23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F6F23" w:rsidRDefault="000F6F23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0F6F23" w:rsidRDefault="000F6F23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0F6F23" w:rsidRDefault="000F6F23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0F6F23" w:rsidRDefault="000F6F23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 w:rsidR="00130560">
        <w:pict>
          <v:roundrect id="_x0000_s1029" style="position:absolute;margin-left:163.5pt;margin-top:30pt;width:242pt;height:26.2pt;z-index:251662336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0F6F23" w:rsidRDefault="00642B8E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130560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130560">
        <w:pict>
          <v:rect id="_x0000_s1028" style="position:absolute;margin-left:42.5pt;margin-top:58pt;width:489pt;height:56.4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0F6F23" w:rsidRPr="004F1CAD" w:rsidRDefault="004F1CAD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4F1CAD">
                    <w:rPr>
                      <w:rFonts w:ascii="Helvetica Light"/>
                      <w:b/>
                      <w:sz w:val="42"/>
                      <w:szCs w:val="42"/>
                    </w:rPr>
                    <w:t xml:space="preserve">II </w:t>
                  </w:r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DOMENICA </w:t>
                  </w:r>
                  <w:proofErr w:type="spellStart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 PASQUA (ANNO B)                   </w:t>
                  </w:r>
                  <w:r w:rsidRPr="004F1CAD">
                    <w:rPr>
                      <w:rFonts w:ascii="Helvetica Light"/>
                      <w:sz w:val="28"/>
                      <w:szCs w:val="28"/>
                    </w:rPr>
                    <w:t xml:space="preserve">12 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Aprile - </w:t>
                  </w:r>
                  <w:r w:rsidR="00642B8E" w:rsidRPr="004F1CAD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proofErr w:type="spellStart"/>
                  <w:r w:rsidRPr="004F1CAD">
                    <w:rPr>
                      <w:rFonts w:ascii="Cochin"/>
                      <w:sz w:val="28"/>
                      <w:szCs w:val="28"/>
                    </w:rPr>
                    <w:t>Gv</w:t>
                  </w:r>
                  <w:proofErr w:type="spellEnd"/>
                  <w:r w:rsidRPr="004F1CAD">
                    <w:rPr>
                      <w:rFonts w:ascii="Cochin"/>
                      <w:sz w:val="28"/>
                      <w:szCs w:val="28"/>
                    </w:rPr>
                    <w:t xml:space="preserve"> </w:t>
                  </w:r>
                  <w:r w:rsidR="00642B8E" w:rsidRPr="004F1CAD">
                    <w:rPr>
                      <w:rFonts w:ascii="Cochin"/>
                      <w:sz w:val="28"/>
                      <w:szCs w:val="28"/>
                    </w:rPr>
                    <w:t xml:space="preserve"> 20,19-31</w:t>
                  </w:r>
                </w:p>
              </w:txbxContent>
            </v:textbox>
            <w10:wrap anchorx="page" anchory="page"/>
          </v:rect>
        </w:pict>
      </w:r>
      <w:r w:rsidR="00642B8E">
        <w:br w:type="page"/>
      </w:r>
    </w:p>
    <w:p w:rsidR="000F6F23" w:rsidRDefault="00B30FFB">
      <w:r w:rsidRPr="00130560">
        <w:lastRenderedPageBreak/>
        <w:pict>
          <v:rect id="_x0000_s1030" style="position:absolute;margin-left:29.25pt;margin-top:129.3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0F6F23" w:rsidRPr="00B30FFB" w:rsidRDefault="00642B8E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  <w:t>I. Inizio</w:t>
                  </w:r>
                </w:p>
                <w:p w:rsidR="000F6F23" w:rsidRPr="00B30FFB" w:rsidRDefault="00642B8E" w:rsidP="004F1CAD">
                  <w:pPr>
                    <w:pStyle w:val="Modulovuoto"/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b/>
                      <w:bCs/>
                      <w:color w:val="A31400"/>
                      <w:position w:val="-3"/>
                      <w:sz w:val="22"/>
                      <w:szCs w:val="22"/>
                    </w:rPr>
                    <w:t xml:space="preserve">• </w:t>
                  </w:r>
                  <w:r w:rsidR="004F1CAD"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Canto allo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 Spirito Santo</w:t>
                  </w:r>
                  <w:r w:rsidRPr="00B30FFB">
                    <w:rPr>
                      <w:rFonts w:ascii="Times New Roman" w:eastAsia="Times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color w:val="A314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Orazione iniziale</w:t>
                  </w:r>
                  <w:r w:rsidRPr="00B30FFB">
                    <w:rPr>
                      <w:rFonts w:ascii="Times New Roman" w:eastAsia="Times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O Padre, che nel giorno del Signore raduni il tuo popolo per celebrare colui che è il Primo e l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’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Ultimo, il Vivente che ha sconfitto la morte, donaci la forza del tuo Spirito, perché, spezzati i vincoli del male, allontanate le nostre paure e le nostre indecisioni, ti rendiamo il libero servizio della nostra obbedienza e del nostro amore, per regnare con Cristo nella gloria.</w:t>
                  </w:r>
                </w:p>
                <w:p w:rsidR="00B30FFB" w:rsidRPr="00B30FFB" w:rsidRDefault="00B30FFB" w:rsidP="004F1CAD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0F6F23" w:rsidRPr="00B30FFB" w:rsidRDefault="00642B8E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  <w:t>II. In Ascolto</w:t>
                  </w:r>
                </w:p>
                <w:p w:rsidR="000F6F23" w:rsidRPr="00B30FFB" w:rsidRDefault="00642B8E">
                  <w:pPr>
                    <w:pStyle w:val="Modulovuoto"/>
                    <w:numPr>
                      <w:ilvl w:val="0"/>
                      <w:numId w:val="2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New Roman" w:eastAsia="Times Roman" w:hAnsi="Times New Roman" w:cs="Times New Roman"/>
                      <w:b/>
                      <w:bCs/>
                      <w:i/>
                      <w:iCs/>
                      <w:position w:val="-2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Lettura di </w:t>
                  </w:r>
                  <w:proofErr w:type="spellStart"/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Gv</w:t>
                  </w:r>
                  <w:proofErr w:type="spellEnd"/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 20,19-31</w:t>
                  </w:r>
                </w:p>
                <w:p w:rsidR="000F6F23" w:rsidRPr="00B30FFB" w:rsidRDefault="00642B8E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La sera di quel giorno, il primo della settimana, mentre erano chiuse le porte del luogo</w:t>
                  </w:r>
                  <w:r w:rsidR="004F1CAD"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dove si trovavano i discepoli per timore dei Giudei, venne Gesù, stette in mezzo e disse loro: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Pace a voi!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Detto questo, mostrò loro le mani e il fianco. E i discepoli gioirono al vedere il Signore. Gesù disse loro di nuovo: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Pace a voi! Come il Padre ha mandato me, anche io mando voi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Detto questo, soffiò e disse loro: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Ricevete lo Spirito Santo. A coloro a cui perdonerete i peccati, saranno perdonati; a coloro a cui non perdonerete, non saranno perdonati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.</w:t>
                  </w:r>
                </w:p>
                <w:p w:rsidR="000F6F23" w:rsidRPr="00B30FFB" w:rsidRDefault="00642B8E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Tommaso, uno dei Dodici, chiamato </w:t>
                  </w:r>
                  <w:proofErr w:type="spellStart"/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Dìdimo</w:t>
                  </w:r>
                  <w:proofErr w:type="spellEnd"/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, non era con loro quando venne Gesù. Gli dicevano gli altri discepoli: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Abbiamo visto il Signore!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Ma egli disse loro: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Se non vedo nelle sue mani il segno dei chiodi e non metto il mio dito nel segno dei chiodi e non metto la mia mano nel suo fianco, io non credo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.</w:t>
                  </w:r>
                </w:p>
                <w:p w:rsidR="000F6F23" w:rsidRPr="00B30FFB" w:rsidRDefault="00642B8E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Otto giorni dopo i discepoli erano di nuovo in casa e c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’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era con loro anche Tommaso. Venne Gesù, a porte chiuse, stette in mezzo e disse: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Pace a voi!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Poi disse a Tommaso: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Metti qui il tuo dito e guarda le mie mani; tendi la tua mano e mettila nel mio fianco; e non essere incredulo, ma credente!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. Gli rispose Tommaso: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Mio Signore e mio Dio!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de-DE"/>
                    </w:rPr>
                    <w:t>. Ges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ù gli disse: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«</w:t>
                  </w:r>
                  <w:proofErr w:type="spellStart"/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Perch</w:t>
                  </w:r>
                  <w:proofErr w:type="spellEnd"/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é mi hai veduto, tu hai creduto; beati quelli che non hanno visto e hanno creduto!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>»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.</w:t>
                  </w:r>
                </w:p>
                <w:p w:rsidR="000F6F23" w:rsidRPr="00B30FFB" w:rsidRDefault="00642B8E">
                  <w:pPr>
                    <w:pStyle w:val="Modulovuoto"/>
                    <w:jc w:val="both"/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de-DE"/>
                    </w:rPr>
                    <w:t>Ges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ù, in presenza dei suoi discepoli, fece molti altri segni che non sono stati scritti in questo libro. Ma questi sono stati scritti perché crediate che Gesù è il Cristo, il Figlio di Dio, e perché, credendo, abbiate la vita nel suo nome.</w:t>
                  </w:r>
                </w:p>
                <w:p w:rsidR="00B30FFB" w:rsidRPr="00B30FFB" w:rsidRDefault="00B30FFB">
                  <w:pPr>
                    <w:pStyle w:val="Modulovuoto"/>
                    <w:jc w:val="both"/>
                    <w:rPr>
                      <w:rFonts w:ascii="Times New Roman" w:eastAsia="Arial" w:hAnsi="Times New Roman" w:cs="Times New Roman"/>
                      <w:b/>
                      <w:bCs/>
                      <w:color w:val="A31400"/>
                      <w:position w:val="-3"/>
                      <w:sz w:val="22"/>
                      <w:szCs w:val="22"/>
                    </w:rPr>
                  </w:pPr>
                </w:p>
                <w:p w:rsidR="000F6F23" w:rsidRPr="00B30FFB" w:rsidRDefault="00642B8E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New Roman" w:eastAsia="Times Roman" w:hAnsi="Times New Roman" w:cs="Times New Roman"/>
                      <w:b/>
                      <w:bCs/>
                      <w:i/>
                      <w:iCs/>
                      <w:position w:val="-2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Breve presentazione del testo da parte </w:t>
                  </w:r>
                  <w:proofErr w:type="spellStart"/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dell</w:t>
                  </w:r>
                  <w:proofErr w:type="spellEnd"/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val="fr-FR"/>
                    </w:rPr>
                    <w:t>’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animatore</w:t>
                  </w:r>
                </w:p>
                <w:p w:rsidR="000F6F23" w:rsidRPr="00B30FFB" w:rsidRDefault="00642B8E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New Roman" w:eastAsia="Times Roman" w:hAnsi="Times New Roman" w:cs="Times New Roman"/>
                      <w:b/>
                      <w:bCs/>
                      <w:i/>
                      <w:iCs/>
                      <w:position w:val="-2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Momento di silenzio ornate</w:t>
                  </w:r>
                </w:p>
                <w:p w:rsidR="000F6F23" w:rsidRPr="00B30FFB" w:rsidRDefault="000F6F23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0F6F23" w:rsidRPr="00B30FFB" w:rsidRDefault="00642B8E">
                  <w:pPr>
                    <w:pStyle w:val="Modulovuoto"/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  <w:t>III. Condivisione</w:t>
                  </w:r>
                </w:p>
                <w:p w:rsidR="00B30FFB" w:rsidRPr="00B30FFB" w:rsidRDefault="00B30FFB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0F6F23" w:rsidRPr="00B30FFB" w:rsidRDefault="00642B8E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b/>
                      <w:bCs/>
                      <w:color w:val="A314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L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lang w:val="fr-FR"/>
                    </w:rPr>
                    <w:t>’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animatore propone tre domande</w:t>
                  </w:r>
                </w:p>
                <w:p w:rsidR="000F6F23" w:rsidRPr="00B30FFB" w:rsidRDefault="00642B8E" w:rsidP="00B30FFB">
                  <w:pPr>
                    <w:pStyle w:val="Corpo"/>
                    <w:numPr>
                      <w:ilvl w:val="0"/>
                      <w:numId w:val="9"/>
                    </w:numPr>
                    <w:spacing w:after="20"/>
                    <w:rPr>
                      <w:rFonts w:ascii="Times New Roman" w:eastAsia="Times Roman" w:hAnsi="Times New Roman" w:cs="Times New Roman"/>
                      <w:position w:val="-2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</w:rPr>
                    <w:t>E</w:t>
                  </w:r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  <w:lang w:val="fr-FR"/>
                    </w:rPr>
                    <w:t xml:space="preserve">’ </w:t>
                  </w:r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</w:rPr>
                    <w:t>possibile che ci siano alcuni che si professano cristiani, ma non credano nella Risurrezione di Gesù? E</w:t>
                  </w:r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  <w:lang w:val="fr-FR"/>
                    </w:rPr>
                    <w:t xml:space="preserve">’ </w:t>
                  </w:r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  <w:lang w:val="es-ES_tradnl"/>
                    </w:rPr>
                    <w:t>cos</w:t>
                  </w:r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ì importante crederci? </w:t>
                  </w:r>
                </w:p>
                <w:p w:rsidR="000F6F23" w:rsidRPr="00B30FFB" w:rsidRDefault="00642B8E" w:rsidP="00B30FFB">
                  <w:pPr>
                    <w:pStyle w:val="Corpo"/>
                    <w:numPr>
                      <w:ilvl w:val="0"/>
                      <w:numId w:val="9"/>
                    </w:numPr>
                    <w:spacing w:after="20"/>
                    <w:rPr>
                      <w:rFonts w:ascii="Times New Roman" w:eastAsia="Times Roman" w:hAnsi="Times New Roman" w:cs="Times New Roman"/>
                      <w:position w:val="-2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Come continua, dopo la Risurrezione, la missione di Gesù nel mondo? Qual è il contenuto </w:t>
                  </w:r>
                  <w:proofErr w:type="spellStart"/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</w:rPr>
                    <w:t>dell</w:t>
                  </w:r>
                  <w:proofErr w:type="spellEnd"/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  <w:lang w:val="fr-FR"/>
                    </w:rPr>
                    <w:t>’</w:t>
                  </w:r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  <w:lang w:val="es-ES_tradnl"/>
                    </w:rPr>
                    <w:t xml:space="preserve">annuncio missionario? </w:t>
                  </w:r>
                </w:p>
                <w:p w:rsidR="000F6F23" w:rsidRPr="00B30FFB" w:rsidRDefault="00642B8E" w:rsidP="00B30FFB">
                  <w:pPr>
                    <w:pStyle w:val="Corpo"/>
                    <w:numPr>
                      <w:ilvl w:val="0"/>
                      <w:numId w:val="9"/>
                    </w:numPr>
                    <w:spacing w:after="20"/>
                    <w:rPr>
                      <w:rFonts w:ascii="Times New Roman" w:eastAsia="Times Roman" w:hAnsi="Times New Roman" w:cs="Times New Roman"/>
                      <w:position w:val="-2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Che valore ha per me la testimonianza di Tommaso? Quali sono, se ne ho, i dubbi della mia fede? Come li affronto e progredisco? </w:t>
                  </w:r>
                </w:p>
                <w:p w:rsidR="00B30FFB" w:rsidRPr="00B30FFB" w:rsidRDefault="00B30FFB" w:rsidP="00B30FFB">
                  <w:pPr>
                    <w:pStyle w:val="Corpo"/>
                    <w:spacing w:after="20"/>
                    <w:ind w:left="180"/>
                    <w:rPr>
                      <w:rFonts w:ascii="Times New Roman" w:eastAsia="Times Roman" w:hAnsi="Times New Roman" w:cs="Times New Roman"/>
                      <w:position w:val="-2"/>
                      <w:sz w:val="22"/>
                      <w:szCs w:val="22"/>
                    </w:rPr>
                  </w:pPr>
                </w:p>
                <w:p w:rsidR="004F1CAD" w:rsidRPr="00B30FFB" w:rsidRDefault="00642B8E">
                  <w:pPr>
                    <w:pStyle w:val="Modulovuoto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Messa in comune breve e inerente la vita.</w:t>
                  </w:r>
                  <w:r w:rsidRPr="00B30FFB">
                    <w:rPr>
                      <w:rFonts w:ascii="Times New Roman" w:eastAsia="Times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Canto</w:t>
                  </w:r>
                  <w:r w:rsidRPr="00B30FFB">
                    <w:rPr>
                      <w:rFonts w:ascii="Times New Roman" w:eastAsia="Times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Preghiera dei fedeli in risposta alla Parola ascoltata </w:t>
                  </w:r>
                </w:p>
                <w:p w:rsidR="000F6F23" w:rsidRPr="00B30FFB" w:rsidRDefault="00642B8E">
                  <w:pPr>
                    <w:pStyle w:val="Modulovuoto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b/>
                      <w:bCs/>
                      <w:color w:val="D81E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Padre Nostro</w:t>
                  </w:r>
                </w:p>
                <w:p w:rsidR="00B30FFB" w:rsidRPr="00B30FFB" w:rsidRDefault="00B30FFB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0F6F23" w:rsidRPr="00B30FFB" w:rsidRDefault="00642B8E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color w:val="A31400"/>
                      <w:sz w:val="22"/>
                      <w:szCs w:val="22"/>
                    </w:rPr>
                    <w:t>IV. Conclusione</w:t>
                  </w:r>
                </w:p>
                <w:p w:rsidR="000F6F23" w:rsidRPr="00B30FFB" w:rsidRDefault="00642B8E" w:rsidP="004F1CAD">
                  <w:pPr>
                    <w:pStyle w:val="Modulovuoto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  <w:r w:rsidRPr="00B30FFB">
                    <w:rPr>
                      <w:rFonts w:ascii="Times New Roman" w:hAnsi="Times New Roman" w:cs="Times New Roman"/>
                      <w:b/>
                      <w:bCs/>
                      <w:color w:val="A31400"/>
                      <w:position w:val="-3"/>
                      <w:sz w:val="22"/>
                      <w:szCs w:val="22"/>
                    </w:rPr>
                    <w:t xml:space="preserve">• </w:t>
                  </w:r>
                  <w:r w:rsidRPr="00B30FF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Orazione finale</w:t>
                  </w:r>
                  <w:r w:rsidRPr="00B30FFB">
                    <w:rPr>
                      <w:rFonts w:ascii="Times New Roman" w:eastAsia="Times Roman" w:hAnsi="Times New Roman" w:cs="Times New Roman"/>
                      <w:b/>
                      <w:bCs/>
                      <w:sz w:val="22"/>
                      <w:szCs w:val="22"/>
                    </w:rPr>
                    <w:br/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 xml:space="preserve">Ti ringrazio Gesù, mio Signore e mio Dio, che mi hai amato e chiamato, reso degno di essere tuo discepolo, che mi hai dato lo Spirito, il mandato di annunciare e testimoniare la tua risurrezione, la misericordia del Padre, la salvezza e il perdono per tutti gli uomini e tutte le donne del mondo. Tu veramente sei la via, la </w:t>
                  </w:r>
                  <w:proofErr w:type="spellStart"/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verit</w:t>
                  </w:r>
                  <w:proofErr w:type="spellEnd"/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  <w:lang w:val="fr-FR"/>
                    </w:rPr>
                    <w:t xml:space="preserve">à </w:t>
                  </w:r>
                  <w:r w:rsidRPr="00B30FFB">
                    <w:rPr>
                      <w:rFonts w:ascii="Times New Roman" w:hAnsi="Times New Roman" w:cs="Times New Roman"/>
                      <w:i/>
                      <w:iCs/>
                      <w:sz w:val="22"/>
                      <w:szCs w:val="22"/>
                    </w:rPr>
                    <w:t>e la vita, aurora senza tramonto, sole di giustizia e di pace. Fammi rimanere nel tuo amore, legato come tralcio alla vite, dammi la tua pace, così che possa superare le mie debolezze, affrontare i miei dubbi, rispondere alla tua chiamata e vivere pienamente la missione che mi hai affidato, lodandoti in eterno. Tu che vivi e regni nei secoli dei secoli. Amen.</w:t>
                  </w:r>
                </w:p>
                <w:p w:rsidR="000F6F23" w:rsidRPr="00B30FFB" w:rsidRDefault="000F6F23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2"/>
                      <w:szCs w:val="22"/>
                    </w:rPr>
                  </w:pPr>
                </w:p>
                <w:p w:rsidR="000F6F23" w:rsidRPr="00B30FFB" w:rsidRDefault="000F6F23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0F6F23" w:rsidRPr="00B30FFB" w:rsidRDefault="000F6F23">
                  <w:pPr>
                    <w:pStyle w:val="Modulovuoto"/>
                    <w:spacing w:after="24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wrap anchorx="page" anchory="page"/>
          </v:rect>
        </w:pict>
      </w:r>
      <w:r w:rsidR="00130560" w:rsidRPr="00130560">
        <w:pict>
          <v:roundrect id="_x0000_s1031" style="position:absolute;margin-left:179.25pt;margin-top:35.6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0F6F23" w:rsidRDefault="00642B8E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="00130560" w:rsidRPr="00130560">
        <w:pict>
          <v:rect id="_x0000_s1032" style="position:absolute;margin-left:42.5pt;margin-top:58pt;width:489pt;height:56.4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4F1CAD" w:rsidRPr="004F1CAD" w:rsidRDefault="004F1CAD" w:rsidP="004F1CAD">
                  <w:pPr>
                    <w:pStyle w:val="Modulovuoto"/>
                    <w:jc w:val="center"/>
                    <w:rPr>
                      <w:sz w:val="28"/>
                      <w:szCs w:val="28"/>
                    </w:rPr>
                  </w:pPr>
                  <w:r w:rsidRPr="004F1CAD">
                    <w:rPr>
                      <w:rFonts w:ascii="Helvetica Light"/>
                      <w:b/>
                      <w:sz w:val="42"/>
                      <w:szCs w:val="42"/>
                    </w:rPr>
                    <w:t xml:space="preserve">II </w:t>
                  </w:r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DOMENICA </w:t>
                  </w:r>
                  <w:proofErr w:type="spellStart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 PASQUA (ANNO B)                   </w:t>
                  </w:r>
                  <w:r w:rsidRPr="004F1CAD">
                    <w:rPr>
                      <w:rFonts w:ascii="Helvetica Light"/>
                      <w:sz w:val="28"/>
                      <w:szCs w:val="28"/>
                    </w:rPr>
                    <w:t xml:space="preserve">12 </w:t>
                  </w:r>
                  <w:r>
                    <w:rPr>
                      <w:rFonts w:ascii="Helvetica Light"/>
                      <w:sz w:val="28"/>
                      <w:szCs w:val="28"/>
                    </w:rPr>
                    <w:t xml:space="preserve">Aprile - </w:t>
                  </w:r>
                  <w:r w:rsidRPr="004F1CAD">
                    <w:rPr>
                      <w:rFonts w:ascii="Cochin"/>
                      <w:sz w:val="28"/>
                      <w:szCs w:val="28"/>
                    </w:rPr>
                    <w:t xml:space="preserve">Vangelo: </w:t>
                  </w:r>
                  <w:proofErr w:type="spellStart"/>
                  <w:r w:rsidRPr="004F1CAD">
                    <w:rPr>
                      <w:rFonts w:ascii="Cochin"/>
                      <w:sz w:val="28"/>
                      <w:szCs w:val="28"/>
                    </w:rPr>
                    <w:t>Gv</w:t>
                  </w:r>
                  <w:proofErr w:type="spellEnd"/>
                  <w:r w:rsidRPr="004F1CAD">
                    <w:rPr>
                      <w:rFonts w:ascii="Cochin"/>
                      <w:sz w:val="28"/>
                      <w:szCs w:val="28"/>
                    </w:rPr>
                    <w:t xml:space="preserve">  20,19-31</w:t>
                  </w:r>
                </w:p>
                <w:p w:rsidR="000F6F23" w:rsidRPr="004F1CAD" w:rsidRDefault="000F6F23" w:rsidP="004F1CAD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0F6F23" w:rsidSect="000F6F23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B8E" w:rsidRDefault="00642B8E" w:rsidP="000F6F23">
      <w:r>
        <w:separator/>
      </w:r>
    </w:p>
  </w:endnote>
  <w:endnote w:type="continuationSeparator" w:id="1">
    <w:p w:rsidR="00642B8E" w:rsidRDefault="00642B8E" w:rsidP="000F6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F23" w:rsidRDefault="000F6F23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B8E" w:rsidRDefault="00642B8E" w:rsidP="000F6F23">
      <w:r>
        <w:separator/>
      </w:r>
    </w:p>
  </w:footnote>
  <w:footnote w:type="continuationSeparator" w:id="1">
    <w:p w:rsidR="00642B8E" w:rsidRDefault="00642B8E" w:rsidP="000F6F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F23" w:rsidRDefault="000F6F23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5092A"/>
    <w:multiLevelType w:val="multilevel"/>
    <w:tmpl w:val="86BC5E36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">
    <w:nsid w:val="2203060D"/>
    <w:multiLevelType w:val="multilevel"/>
    <w:tmpl w:val="A90EE832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position w:val="-2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position w:val="-2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position w:val="-2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position w:val="-2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position w:val="-2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position w:val="-2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position w:val="-2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position w:val="-2"/>
        <w:sz w:val="22"/>
        <w:szCs w:val="22"/>
      </w:rPr>
    </w:lvl>
  </w:abstractNum>
  <w:abstractNum w:abstractNumId="2">
    <w:nsid w:val="26D02FB9"/>
    <w:multiLevelType w:val="multilevel"/>
    <w:tmpl w:val="11E49C7A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position w:val="-2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position w:val="-2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position w:val="-2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position w:val="-2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position w:val="-2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position w:val="-2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position w:val="-2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position w:val="-2"/>
        <w:sz w:val="22"/>
        <w:szCs w:val="22"/>
      </w:rPr>
    </w:lvl>
  </w:abstractNum>
  <w:abstractNum w:abstractNumId="3">
    <w:nsid w:val="35BC3C10"/>
    <w:multiLevelType w:val="hybridMultilevel"/>
    <w:tmpl w:val="E2F6A47E"/>
    <w:lvl w:ilvl="0" w:tplc="86840346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6537A4"/>
    <w:multiLevelType w:val="multilevel"/>
    <w:tmpl w:val="8A7C484A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5">
    <w:nsid w:val="4BF234DD"/>
    <w:multiLevelType w:val="multilevel"/>
    <w:tmpl w:val="78E6B33C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position w:val="-2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position w:val="-2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position w:val="-2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position w:val="-2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position w:val="-2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position w:val="-2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position w:val="-2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position w:val="-2"/>
        <w:sz w:val="22"/>
        <w:szCs w:val="22"/>
      </w:rPr>
    </w:lvl>
  </w:abstractNum>
  <w:abstractNum w:abstractNumId="6">
    <w:nsid w:val="4C3F5F71"/>
    <w:multiLevelType w:val="multilevel"/>
    <w:tmpl w:val="6C0A201A"/>
    <w:styleLink w:val="List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position w:val="-2"/>
        <w:sz w:val="22"/>
        <w:szCs w:val="22"/>
      </w:rPr>
    </w:lvl>
    <w:lvl w:ilvl="1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position w:val="-2"/>
        <w:sz w:val="22"/>
        <w:szCs w:val="22"/>
      </w:rPr>
    </w:lvl>
    <w:lvl w:ilvl="2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position w:val="-2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position w:val="-2"/>
        <w:sz w:val="22"/>
        <w:szCs w:val="22"/>
      </w:rPr>
    </w:lvl>
    <w:lvl w:ilvl="4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position w:val="-2"/>
        <w:sz w:val="22"/>
        <w:szCs w:val="22"/>
      </w:rPr>
    </w:lvl>
    <w:lvl w:ilvl="5">
      <w:start w:val="1"/>
      <w:numFmt w:val="bullet"/>
      <w:lvlText w:val="•"/>
      <w:lvlJc w:val="left"/>
      <w:pPr>
        <w:tabs>
          <w:tab w:val="num" w:pos="1965"/>
        </w:tabs>
        <w:ind w:left="1965" w:hanging="165"/>
      </w:pPr>
      <w:rPr>
        <w:position w:val="-2"/>
        <w:sz w:val="22"/>
        <w:szCs w:val="22"/>
      </w:rPr>
    </w:lvl>
    <w:lvl w:ilvl="6">
      <w:start w:val="1"/>
      <w:numFmt w:val="bullet"/>
      <w:lvlText w:val="•"/>
      <w:lvlJc w:val="left"/>
      <w:pPr>
        <w:tabs>
          <w:tab w:val="num" w:pos="2325"/>
        </w:tabs>
        <w:ind w:left="2325" w:hanging="165"/>
      </w:pPr>
      <w:rPr>
        <w:position w:val="-2"/>
        <w:sz w:val="22"/>
        <w:szCs w:val="22"/>
      </w:rPr>
    </w:lvl>
    <w:lvl w:ilvl="7">
      <w:start w:val="1"/>
      <w:numFmt w:val="bullet"/>
      <w:lvlText w:val="•"/>
      <w:lvlJc w:val="left"/>
      <w:pPr>
        <w:tabs>
          <w:tab w:val="num" w:pos="2685"/>
        </w:tabs>
        <w:ind w:left="2685" w:hanging="165"/>
      </w:pPr>
      <w:rPr>
        <w:position w:val="-2"/>
        <w:sz w:val="22"/>
        <w:szCs w:val="22"/>
      </w:rPr>
    </w:lvl>
    <w:lvl w:ilvl="8">
      <w:start w:val="1"/>
      <w:numFmt w:val="bullet"/>
      <w:lvlText w:val="•"/>
      <w:lvlJc w:val="left"/>
      <w:pPr>
        <w:tabs>
          <w:tab w:val="num" w:pos="3045"/>
        </w:tabs>
        <w:ind w:left="3045" w:hanging="165"/>
      </w:pPr>
      <w:rPr>
        <w:position w:val="-2"/>
        <w:sz w:val="22"/>
        <w:szCs w:val="22"/>
      </w:rPr>
    </w:lvl>
  </w:abstractNum>
  <w:abstractNum w:abstractNumId="7">
    <w:nsid w:val="51922632"/>
    <w:multiLevelType w:val="multilevel"/>
    <w:tmpl w:val="5C2A277C"/>
    <w:lvl w:ilvl="0">
      <w:start w:val="1"/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8">
    <w:nsid w:val="60E92112"/>
    <w:multiLevelType w:val="multilevel"/>
    <w:tmpl w:val="E40083C2"/>
    <w:styleLink w:val="Puntielenco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0F6F23"/>
    <w:rsid w:val="000F6F23"/>
    <w:rsid w:val="00130560"/>
    <w:rsid w:val="004F1CAD"/>
    <w:rsid w:val="00642B8E"/>
    <w:rsid w:val="00B30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F6F23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F6F23"/>
    <w:rPr>
      <w:u w:val="single"/>
    </w:rPr>
  </w:style>
  <w:style w:type="table" w:customStyle="1" w:styleId="TableNormal">
    <w:name w:val="Table Normal"/>
    <w:rsid w:val="000F6F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0F6F23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0F6F23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0F6F23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0F6F23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0F6F23"/>
    <w:rPr>
      <w:rFonts w:ascii="Hoefler Text" w:hAnsi="Arial Unicode MS" w:cs="Arial Unicode MS"/>
      <w:color w:val="000000"/>
    </w:rPr>
  </w:style>
  <w:style w:type="paragraph" w:customStyle="1" w:styleId="CorpoA">
    <w:name w:val="Corpo A"/>
    <w:rsid w:val="000F6F23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Puntielenco">
    <w:name w:val="Punti elenco"/>
    <w:rsid w:val="000F6F23"/>
    <w:pPr>
      <w:numPr>
        <w:numId w:val="4"/>
      </w:numPr>
    </w:pPr>
  </w:style>
  <w:style w:type="numbering" w:customStyle="1" w:styleId="List0">
    <w:name w:val="List 0"/>
    <w:basedOn w:val="Puntielenco"/>
    <w:rsid w:val="000F6F2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9</Characters>
  <Application>Microsoft Office Word</Application>
  <DocSecurity>0</DocSecurity>
  <Lines>1</Lines>
  <Paragraphs>1</Paragraphs>
  <ScaleCrop>false</ScaleCrop>
  <Company>Hewlett-Packard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4</cp:revision>
  <cp:lastPrinted>2014-09-27T10:25:00Z</cp:lastPrinted>
  <dcterms:created xsi:type="dcterms:W3CDTF">2014-09-26T21:25:00Z</dcterms:created>
  <dcterms:modified xsi:type="dcterms:W3CDTF">2014-09-27T10:25:00Z</dcterms:modified>
</cp:coreProperties>
</file>